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C7" w:rsidRDefault="00E029C7" w:rsidP="00E029C7">
      <w:pPr>
        <w:pBdr>
          <w:bottom w:val="dotted" w:sz="6" w:space="2" w:color="CCCCCC"/>
        </w:pBdr>
        <w:shd w:val="clear" w:color="auto" w:fill="FFFFFF"/>
        <w:spacing w:after="30" w:line="408" w:lineRule="atLeast"/>
        <w:outlineLvl w:val="1"/>
        <w:rPr>
          <w:rFonts w:ascii="Trebuchet MS" w:eastAsia="Times New Roman" w:hAnsi="Trebuchet MS" w:cs="Times New Roman"/>
          <w:color w:val="666666"/>
          <w:spacing w:val="-15"/>
          <w:sz w:val="41"/>
          <w:szCs w:val="41"/>
          <w:lang w:eastAsia="it-IT"/>
        </w:rPr>
      </w:pPr>
      <w:r w:rsidRPr="00E029C7">
        <w:rPr>
          <w:rFonts w:ascii="Trebuchet MS" w:eastAsia="Times New Roman" w:hAnsi="Trebuchet MS" w:cs="Times New Roman"/>
          <w:color w:val="666666"/>
          <w:spacing w:val="-15"/>
          <w:sz w:val="41"/>
          <w:szCs w:val="41"/>
          <w:lang w:eastAsia="it-IT"/>
        </w:rPr>
        <w:t>http://www.pietroichino.it/?p=48505</w:t>
      </w:r>
      <w:bookmarkStart w:id="0" w:name="_GoBack"/>
      <w:bookmarkEnd w:id="0"/>
    </w:p>
    <w:p w:rsidR="00E029C7" w:rsidRPr="00E029C7" w:rsidRDefault="00E029C7" w:rsidP="00E029C7">
      <w:pPr>
        <w:pBdr>
          <w:bottom w:val="dotted" w:sz="6" w:space="2" w:color="CCCCCC"/>
        </w:pBdr>
        <w:shd w:val="clear" w:color="auto" w:fill="FFFFFF"/>
        <w:spacing w:after="30" w:line="408" w:lineRule="atLeast"/>
        <w:outlineLvl w:val="1"/>
        <w:rPr>
          <w:rFonts w:ascii="Trebuchet MS" w:eastAsia="Times New Roman" w:hAnsi="Trebuchet MS" w:cs="Times New Roman"/>
          <w:color w:val="666666"/>
          <w:spacing w:val="-15"/>
          <w:sz w:val="41"/>
          <w:szCs w:val="41"/>
          <w:lang w:eastAsia="it-IT"/>
        </w:rPr>
      </w:pPr>
      <w:hyperlink r:id="rId4" w:tooltip="Link permanente a IMPENNATA DEL LAVORO STABILE A GENNAIO" w:history="1">
        <w:r w:rsidRPr="00E029C7">
          <w:rPr>
            <w:rFonts w:ascii="Trebuchet MS" w:eastAsia="Times New Roman" w:hAnsi="Trebuchet MS" w:cs="Times New Roman"/>
            <w:color w:val="333333"/>
            <w:spacing w:val="-15"/>
            <w:sz w:val="41"/>
            <w:szCs w:val="41"/>
            <w:lang w:eastAsia="it-IT"/>
          </w:rPr>
          <w:t>IMPENNATA DEL LAVORO STABILE A GENNAIO</w:t>
        </w:r>
      </w:hyperlink>
    </w:p>
    <w:p w:rsidR="00E029C7" w:rsidRPr="00E029C7" w:rsidRDefault="00E029C7" w:rsidP="00E029C7">
      <w:pPr>
        <w:shd w:val="clear" w:color="auto" w:fill="FFFFFF"/>
        <w:spacing w:before="150" w:after="75" w:line="360" w:lineRule="atLeast"/>
        <w:outlineLvl w:val="3"/>
        <w:rPr>
          <w:rFonts w:ascii="Trebuchet MS" w:eastAsia="Times New Roman" w:hAnsi="Trebuchet MS" w:cs="Times New Roman"/>
          <w:color w:val="333333"/>
          <w:sz w:val="36"/>
          <w:szCs w:val="36"/>
          <w:lang w:eastAsia="it-IT"/>
        </w:rPr>
      </w:pPr>
      <w:r w:rsidRPr="00E029C7">
        <w:rPr>
          <w:rFonts w:ascii="Trebuchet MS" w:eastAsia="Times New Roman" w:hAnsi="Trebuchet MS" w:cs="Times New Roman"/>
          <w:color w:val="993300"/>
          <w:sz w:val="36"/>
          <w:szCs w:val="36"/>
          <w:lang w:eastAsia="it-IT"/>
        </w:rPr>
        <w:t>E non soltanto per i più giovani, che beneficiano della decontribuzione: in Veneto aumento del 76% delle assunzioni stabili più conversioni di contratti a termine, rispetto all’anno precedente: in totale 18.700, che se proiettate su scala nazionale porterebbero a circa 200.000 – Il 40% riguarda gli &lt;35</w:t>
      </w:r>
    </w:p>
    <w:p w:rsidR="00E029C7" w:rsidRPr="00E029C7" w:rsidRDefault="00E029C7" w:rsidP="00E029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Trebuchet MS" w:eastAsia="Times New Roman" w:hAnsi="Trebuchet MS" w:cs="Times New Roman"/>
          <w:i/>
          <w:iCs/>
          <w:color w:val="FFFFFF"/>
          <w:szCs w:val="24"/>
          <w:lang w:eastAsia="it-IT"/>
        </w:rPr>
        <w:t>.</w:t>
      </w:r>
      <w:r w:rsidRPr="00E029C7">
        <w:rPr>
          <w:rFonts w:ascii="Trebuchet MS" w:eastAsia="Times New Roman" w:hAnsi="Trebuchet MS" w:cs="Times New Roman"/>
          <w:i/>
          <w:iCs/>
          <w:color w:val="333333"/>
          <w:szCs w:val="24"/>
          <w:lang w:eastAsia="it-IT"/>
        </w:rPr>
        <w:br/>
        <w:t>Numero di febbraio 2018 del bollettino</w:t>
      </w:r>
      <w:r w:rsidRPr="00E029C7">
        <w:rPr>
          <w:rFonts w:ascii="Trebuchet MS" w:eastAsia="Times New Roman" w:hAnsi="Trebuchet MS" w:cs="Times New Roman"/>
          <w:color w:val="333333"/>
          <w:szCs w:val="24"/>
          <w:lang w:eastAsia="it-IT"/>
        </w:rPr>
        <w:t> Osservatorio del Mercato del Lavoro </w:t>
      </w:r>
      <w:r w:rsidRPr="00E029C7">
        <w:rPr>
          <w:rFonts w:ascii="Trebuchet MS" w:eastAsia="Times New Roman" w:hAnsi="Trebuchet MS" w:cs="Times New Roman"/>
          <w:i/>
          <w:iCs/>
          <w:color w:val="333333"/>
          <w:szCs w:val="24"/>
          <w:lang w:eastAsia="it-IT"/>
        </w:rPr>
        <w:t>dell’Agenzia Veneto Lavoro, Regione Veneto – In argomento v. anche la </w:t>
      </w:r>
      <w:hyperlink r:id="rId5" w:tgtFrame="_blank" w:history="1">
        <w:r w:rsidRPr="00E029C7">
          <w:rPr>
            <w:rFonts w:ascii="Trebuchet MS" w:eastAsia="Times New Roman" w:hAnsi="Trebuchet MS" w:cs="Times New Roman"/>
            <w:i/>
            <w:iCs/>
            <w:color w:val="6699CC"/>
            <w:szCs w:val="24"/>
            <w:lang w:eastAsia="it-IT"/>
          </w:rPr>
          <w:t>scheda tecnica a cura di Claudio Negro</w:t>
        </w:r>
      </w:hyperlink>
      <w:r w:rsidRPr="00E029C7">
        <w:rPr>
          <w:rFonts w:ascii="Trebuchet MS" w:eastAsia="Times New Roman" w:hAnsi="Trebuchet MS" w:cs="Times New Roman"/>
          <w:i/>
          <w:iCs/>
          <w:color w:val="333333"/>
          <w:szCs w:val="24"/>
          <w:lang w:eastAsia="it-IT"/>
        </w:rPr>
        <w:t> pubblicata nel n. 27 di </w:t>
      </w:r>
      <w:r w:rsidRPr="00E029C7">
        <w:rPr>
          <w:rFonts w:ascii="Trebuchet MS" w:eastAsia="Times New Roman" w:hAnsi="Trebuchet MS" w:cs="Times New Roman"/>
          <w:color w:val="333333"/>
          <w:szCs w:val="24"/>
          <w:lang w:eastAsia="it-IT"/>
        </w:rPr>
        <w:t>Mercato del Lavoro News</w:t>
      </w:r>
      <w:r w:rsidRPr="00E029C7">
        <w:rPr>
          <w:rFonts w:ascii="Trebuchet MS" w:eastAsia="Times New Roman" w:hAnsi="Trebuchet MS" w:cs="Times New Roman"/>
          <w:i/>
          <w:iCs/>
          <w:color w:val="333333"/>
          <w:szCs w:val="24"/>
          <w:lang w:eastAsia="it-IT"/>
        </w:rPr>
        <w:t>, 6 febbraio 2018, dove la flessione di dicembre 2017 dei dati occupazionali è spiegata in parte con l’attesa da parte delle imprese dell’entrata in vigore del nuovo regime strutturale di decontribuzione per i giovani, varato con la legge di bilancio 2018 (legge n. 205/2017)</w:t>
      </w:r>
      <w:r w:rsidRPr="00E029C7">
        <w:rPr>
          <w:rFonts w:ascii="Trebuchet MS" w:eastAsia="Times New Roman" w:hAnsi="Trebuchet MS" w:cs="Times New Roman"/>
          <w:i/>
          <w:iCs/>
          <w:color w:val="333333"/>
          <w:szCs w:val="24"/>
          <w:lang w:eastAsia="it-IT"/>
        </w:rPr>
        <w:br/>
      </w:r>
      <w:r w:rsidRPr="00E029C7">
        <w:rPr>
          <w:rFonts w:ascii="Trebuchet MS" w:eastAsia="Times New Roman" w:hAnsi="Trebuchet MS" w:cs="Times New Roman"/>
          <w:color w:val="FFFFFF"/>
          <w:szCs w:val="24"/>
          <w:lang w:eastAsia="it-IT"/>
        </w:rPr>
        <w:t>.</w:t>
      </w:r>
      <w:r w:rsidRPr="00E029C7">
        <w:rPr>
          <w:rFonts w:ascii="Trebuchet MS" w:eastAsia="Times New Roman" w:hAnsi="Trebuchet MS" w:cs="Times New Roman"/>
          <w:color w:val="333333"/>
          <w:szCs w:val="24"/>
          <w:lang w:eastAsia="it-IT"/>
        </w:rPr>
        <w:br/>
      </w:r>
      <w:r w:rsidRPr="00E029C7">
        <w:rPr>
          <w:rFonts w:ascii="Trebuchet MS" w:eastAsia="Times New Roman" w:hAnsi="Trebuchet MS" w:cs="Times New Roman"/>
          <w:color w:val="FFFFFF"/>
          <w:szCs w:val="24"/>
          <w:lang w:eastAsia="it-IT"/>
        </w:rPr>
        <w:t>.</w:t>
      </w:r>
    </w:p>
    <w:p w:rsidR="00E029C7" w:rsidRPr="00E029C7" w:rsidRDefault="00E029C7" w:rsidP="00E029C7">
      <w:pPr>
        <w:shd w:val="clear" w:color="auto" w:fill="FFFFFF"/>
        <w:spacing w:before="150" w:after="75" w:line="360" w:lineRule="atLeast"/>
        <w:outlineLvl w:val="3"/>
        <w:rPr>
          <w:rFonts w:ascii="Trebuchet MS" w:eastAsia="Times New Roman" w:hAnsi="Trebuchet MS" w:cs="Times New Roman"/>
          <w:color w:val="333333"/>
          <w:sz w:val="36"/>
          <w:szCs w:val="36"/>
          <w:lang w:eastAsia="it-IT"/>
        </w:rPr>
      </w:pPr>
      <w:r w:rsidRPr="00E029C7">
        <w:rPr>
          <w:rFonts w:ascii="Trebuchet MS" w:eastAsia="Times New Roman" w:hAnsi="Trebuchet MS" w:cs="Times New Roman"/>
          <w:noProof/>
          <w:color w:val="6699CC"/>
          <w:sz w:val="36"/>
          <w:szCs w:val="36"/>
          <w:lang w:eastAsia="it-IT"/>
        </w:rPr>
        <w:drawing>
          <wp:inline distT="0" distB="0" distL="0" distR="0" wp14:anchorId="2EF86E36" wp14:editId="04A15528">
            <wp:extent cx="502285" cy="502285"/>
            <wp:effectExtent l="0" t="0" r="0" b="0"/>
            <wp:docPr id="3" name="Immagine 3" descr="icona-dwl8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a-dwl8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E029C7">
          <w:rPr>
            <w:rFonts w:ascii="Trebuchet MS" w:eastAsia="Times New Roman" w:hAnsi="Trebuchet MS" w:cs="Times New Roman"/>
            <w:color w:val="6699CC"/>
            <w:sz w:val="36"/>
            <w:szCs w:val="36"/>
            <w:lang w:eastAsia="it-IT"/>
          </w:rPr>
          <w:t>Scarica il documento di Veneto Lavoro in formato pdf</w:t>
        </w:r>
      </w:hyperlink>
    </w:p>
    <w:p w:rsidR="00E029C7" w:rsidRPr="00E029C7" w:rsidRDefault="00E029C7" w:rsidP="00E029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Trebuchet MS" w:eastAsia="Times New Roman" w:hAnsi="Trebuchet MS" w:cs="Times New Roman"/>
          <w:color w:val="333333"/>
          <w:szCs w:val="24"/>
          <w:lang w:eastAsia="it-IT"/>
        </w:rPr>
        <w:t> </w:t>
      </w:r>
    </w:p>
    <w:p w:rsidR="00E029C7" w:rsidRPr="00E029C7" w:rsidRDefault="00E029C7" w:rsidP="00E029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Trebuchet MS" w:eastAsia="Times New Roman" w:hAnsi="Trebuchet MS" w:cs="Times New Roman"/>
          <w:color w:val="FFFFFF"/>
          <w:szCs w:val="24"/>
          <w:lang w:eastAsia="it-IT"/>
        </w:rPr>
        <w:t>.</w:t>
      </w:r>
    </w:p>
    <w:p w:rsidR="00E029C7" w:rsidRPr="00E029C7" w:rsidRDefault="00E029C7" w:rsidP="00E029C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Trebuchet MS" w:eastAsia="Times New Roman" w:hAnsi="Trebuchet MS" w:cs="Times New Roman"/>
          <w:b/>
          <w:bCs/>
          <w:noProof/>
          <w:color w:val="993300"/>
          <w:szCs w:val="24"/>
          <w:lang w:eastAsia="it-IT"/>
        </w:rPr>
        <w:drawing>
          <wp:inline distT="0" distB="0" distL="0" distR="0" wp14:anchorId="0BA8E4B0" wp14:editId="257C06F1">
            <wp:extent cx="1904365" cy="2401570"/>
            <wp:effectExtent l="0" t="0" r="635" b="0"/>
            <wp:docPr id="4" name="Immagine 4" descr="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ne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9C7">
        <w:rPr>
          <w:rFonts w:ascii="Trebuchet MS" w:eastAsia="Times New Roman" w:hAnsi="Trebuchet MS" w:cs="Times New Roman"/>
          <w:b/>
          <w:bCs/>
          <w:color w:val="993300"/>
          <w:szCs w:val="24"/>
          <w:lang w:eastAsia="it-IT"/>
        </w:rPr>
        <w:t>SINTESI DEL CONTENUTO DEL DOCUMENTO</w:t>
      </w:r>
    </w:p>
    <w:p w:rsidR="00E029C7" w:rsidRPr="00E029C7" w:rsidRDefault="00E029C7" w:rsidP="00E029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Trebuchet MS" w:eastAsia="Times New Roman" w:hAnsi="Trebuchet MS" w:cs="Times New Roman"/>
          <w:color w:val="333333"/>
          <w:szCs w:val="24"/>
          <w:lang w:eastAsia="it-IT"/>
        </w:rPr>
        <w:t>Nel mese di gennaio 2018 </w:t>
      </w:r>
      <w:r w:rsidRPr="00E029C7">
        <w:rPr>
          <w:rFonts w:ascii="Arial" w:eastAsia="Times New Roman" w:hAnsi="Arial" w:cs="Arial"/>
          <w:b/>
          <w:bCs/>
          <w:color w:val="333333"/>
          <w:szCs w:val="24"/>
          <w:lang w:eastAsia="it-IT"/>
        </w:rPr>
        <w:t>il numero di assunzioni e trasformazioni a tempo indeterminato attivate in Veneto ha toccato la cifra record di 18.700</w:t>
      </w:r>
      <w:r w:rsidRPr="00E029C7">
        <w:rPr>
          <w:rFonts w:ascii="Trebuchet MS" w:eastAsia="Times New Roman" w:hAnsi="Trebuchet MS" w:cs="Times New Roman"/>
          <w:color w:val="333333"/>
          <w:szCs w:val="24"/>
          <w:lang w:eastAsia="it-IT"/>
        </w:rPr>
        <w:t>, il livello più alto degli ultimi 9 anni, con una crescita del 76% rispetto allo stesso mese del 2017.</w:t>
      </w:r>
    </w:p>
    <w:p w:rsidR="00E029C7" w:rsidRPr="00E029C7" w:rsidRDefault="00E029C7" w:rsidP="00E029C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È quanto emerge dai dati della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Misura/75 dell’Osservatorio Mercato del Lavoro di Veneto Lavoro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dedicata all’analisi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dell’impatto degli incentivi introdotti dalla Legge di bilancio 2018 per l’assunzione a tempo indeterminato di giovani under 35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Dal primo gennaio scorso, infatti, i datori di lavoro che assumono un giovane di età inferiore ai 35 anni con contratto a tempo indeterminato a tutele crescenti possono usufruire di uno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sgravio triennale pari al 50% dei contributi Inps dovuti, fino a un massimo di 3.000 euro l’anno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Il bonus, che dal 2019 sarà ristretto agli under 30, ma in questo assetto diventerà strutturale (cioè parte stabile 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del nostro ordinamento, e non più soltanto incentivo congiunturale) spetta anche in caso di trasformazioni a tempo indeterminato di rapporti a termine (con alcune specifiche) e si applica a due condizioni: che il neo assunto non sia mai stato occupato in precedenza con contratto a tempo indeterminato e che il datore di lavoro non abbia effettuato licenziamenti nei 6 mesi precedenti l’assunzione.</w:t>
      </w:r>
    </w:p>
    <w:p w:rsidR="00E029C7" w:rsidRPr="00E029C7" w:rsidRDefault="00E029C7" w:rsidP="00E029C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L’indagine sembra confermare che una misura di incentivazione può dare impulso alla crescita occupazionale, ma anche, indirettamente, che ancor più decisiva può rivelarsi una congiuntura economica favorevole.</w:t>
      </w:r>
    </w:p>
    <w:p w:rsidR="00E029C7" w:rsidRPr="00E029C7" w:rsidRDefault="00E029C7" w:rsidP="00E029C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Osservando le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dinamiche occupazionali degli under 35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si nota infatti come nell’arco degli ultimi dieci anni l’incidenza delle attivazioni di giovani sul totale delle attivazioni a tempo indeterminato sia costantemente diminuita, dal 47% del 2008 al 35% del 2017, con due uniche eccezioni: il 2015, quando la quota di giovani era risalita al 40%, e il 2018, che ha evidenziato una percentuale identica grazie soprattutto a un incremento maggiore (+98%) di quello registrato per le attivazioni complessive (+76%).</w:t>
      </w:r>
    </w:p>
    <w:p w:rsidR="00E029C7" w:rsidRPr="00E029C7" w:rsidRDefault="00E029C7" w:rsidP="00E029C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 un lato, quindi, il dato relativo ai giovani, considerata anche la flessione registrata nel quarto trimestre del 2017, dovuta con ogni probabilità al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posticipo di assunzioni già programmate per la volontà di “catturare” i nuovi incentivi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dimostra che lo sgravio ha avuto una qualche rilevanza. Dall’altro, il fatto che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la crescita sia allargata anche a classi di età non interessate dall’incentivo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(gli over 35) e il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forte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incremento delle trasformazioni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sembrano ricondurre buona parte dell’aumento occupazionale a tempo indeterminato al miglioramento del contesto economico-occupazionale nel suo complesso.</w:t>
      </w:r>
    </w:p>
    <w:p w:rsidR="00E029C7" w:rsidRPr="00E029C7" w:rsidRDefault="00E029C7" w:rsidP="00E029C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altre parole, l’incremento osservato nel mese di gennaio risulta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marginalmente determinato dagli sgravi per gli under 35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e dovuto piuttosto al compimento dei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processi di ricambio e consolidamento degli organici avviati nel 2017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anche attraverso un forte ricorso ai contratti a termine ora in via di stabilizzazione.</w:t>
      </w:r>
    </w:p>
    <w:p w:rsidR="00E029C7" w:rsidRPr="00E029C7" w:rsidRDefault="00E029C7" w:rsidP="00E029C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33333"/>
          <w:szCs w:val="24"/>
          <w:lang w:eastAsia="it-IT"/>
        </w:rPr>
      </w:pP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determinare con maggiore precisione la rilevanza degli sgravi sarà in ogni caso </w:t>
      </w:r>
      <w:r w:rsidRPr="00E029C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necessario attendere i prossimi mesi</w:t>
      </w:r>
      <w:r w:rsidRPr="00E029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se le dinamiche osservate a gennaio si confermeranno allora sarà possibile ricondurre in maniera più evidente tali incrementi alle politiche di incentivazione.</w:t>
      </w:r>
    </w:p>
    <w:p w:rsidR="009378E7" w:rsidRDefault="009378E7"/>
    <w:sectPr w:rsidR="009378E7" w:rsidSect="001153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C7"/>
    <w:rsid w:val="0011532F"/>
    <w:rsid w:val="009378E7"/>
    <w:rsid w:val="00AD3E96"/>
    <w:rsid w:val="00E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5327E-943D-4969-9B77-66C2A4D7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roichino.it/wp-content/uploads/2018/02/Misure-75_Assunzioni-giovani-gennaio-2018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troichino.it/wp-content/uploads/2018/02/Misure-75_Assunzioni-giovani-gennaio-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etroichino.it/?p=483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ietroichino.it/?p=48505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</dc:creator>
  <cp:keywords/>
  <dc:description/>
  <cp:lastModifiedBy>Antonino</cp:lastModifiedBy>
  <cp:revision>1</cp:revision>
  <dcterms:created xsi:type="dcterms:W3CDTF">2018-02-24T06:50:00Z</dcterms:created>
  <dcterms:modified xsi:type="dcterms:W3CDTF">2018-02-24T06:51:00Z</dcterms:modified>
</cp:coreProperties>
</file>